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12BB4">
      <w:pPr>
        <w:widowControl/>
        <w:spacing w:line="240" w:lineRule="auto"/>
        <w:jc w:val="center"/>
        <w:rPr>
          <w:rFonts w:ascii="Times New Roman" w:hAnsi="Times New Roman"/>
          <w:b/>
          <w:bCs w:val="0"/>
          <w:sz w:val="32"/>
          <w:szCs w:val="32"/>
          <w:lang w:val="ru-RU"/>
        </w:rPr>
      </w:pPr>
      <w:r>
        <w:rPr>
          <w:b/>
        </w:rPr>
        <w:drawing>
          <wp:inline distT="0" distB="0" distL="114300" distR="114300">
            <wp:extent cx="476250" cy="553085"/>
            <wp:effectExtent l="0" t="0" r="0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223F0">
      <w:pPr>
        <w:widowControl/>
        <w:spacing w:line="240" w:lineRule="auto"/>
        <w:jc w:val="center"/>
        <w:rPr>
          <w:rFonts w:hint="default" w:ascii="Times New Roman" w:hAnsi="Times New Roman"/>
          <w:b/>
          <w:bCs w:val="0"/>
          <w:sz w:val="32"/>
          <w:szCs w:val="32"/>
          <w:lang w:val="ru-RU"/>
        </w:rPr>
      </w:pPr>
      <w:r>
        <w:rPr>
          <w:rFonts w:ascii="Times New Roman" w:hAnsi="Times New Roman"/>
          <w:b/>
          <w:bCs w:val="0"/>
          <w:sz w:val="32"/>
          <w:szCs w:val="32"/>
          <w:lang w:val="ru-RU"/>
        </w:rPr>
        <w:t>АДМИНИСТРАЦИЯ</w:t>
      </w:r>
      <w:r>
        <w:rPr>
          <w:rFonts w:hint="default" w:ascii="Times New Roman" w:hAnsi="Times New Roman"/>
          <w:b/>
          <w:bCs w:val="0"/>
          <w:sz w:val="32"/>
          <w:szCs w:val="32"/>
          <w:lang w:val="ru-RU"/>
        </w:rPr>
        <w:t xml:space="preserve"> СЕЛЬСКОГО ПОСЕЛЕНИЯ «НОМОКОНОВСКОЕ»</w:t>
      </w:r>
    </w:p>
    <w:p w14:paraId="5A95369B">
      <w:pPr>
        <w:widowControl/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03000000">
      <w:pPr>
        <w:widowControl/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14:paraId="0F2761B9">
      <w:pPr>
        <w:widowControl/>
        <w:spacing w:line="240" w:lineRule="auto"/>
        <w:jc w:val="center"/>
        <w:rPr>
          <w:rFonts w:hint="default"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hint="default" w:ascii="Times New Roman" w:hAnsi="Times New Roman"/>
          <w:sz w:val="28"/>
          <w:lang w:val="ru-RU"/>
        </w:rPr>
        <w:t>31</w:t>
      </w:r>
      <w:r>
        <w:rPr>
          <w:rFonts w:ascii="Times New Roman" w:hAnsi="Times New Roman"/>
          <w:sz w:val="28"/>
        </w:rPr>
        <w:t>.</w:t>
      </w:r>
      <w:r>
        <w:rPr>
          <w:rFonts w:hint="default" w:ascii="Times New Roman" w:hAnsi="Times New Roman"/>
          <w:sz w:val="28"/>
          <w:lang w:val="ru-RU"/>
        </w:rPr>
        <w:t>10</w:t>
      </w:r>
      <w:r>
        <w:rPr>
          <w:rFonts w:ascii="Times New Roman" w:hAnsi="Times New Roman"/>
          <w:sz w:val="28"/>
        </w:rPr>
        <w:t>.2025</w:t>
      </w:r>
      <w:r>
        <w:rPr>
          <w:rFonts w:ascii="Times New Roman" w:hAnsi="Times New Roman"/>
          <w:sz w:val="28"/>
          <w:lang w:val="ru-RU"/>
        </w:rPr>
        <w:t>г</w:t>
      </w:r>
      <w:r>
        <w:rPr>
          <w:rFonts w:hint="default" w:ascii="Times New Roman" w:hAnsi="Times New Roman"/>
          <w:sz w:val="28"/>
          <w:lang w:val="ru-RU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 №</w:t>
      </w:r>
      <w:r>
        <w:rPr>
          <w:rFonts w:hint="default" w:ascii="Times New Roman" w:hAnsi="Times New Roman"/>
          <w:sz w:val="28"/>
          <w:lang w:val="ru-RU"/>
        </w:rPr>
        <w:t xml:space="preserve"> 25     </w:t>
      </w:r>
    </w:p>
    <w:p w14:paraId="22364F8B">
      <w:pPr>
        <w:widowControl/>
        <w:spacing w:line="240" w:lineRule="auto"/>
        <w:jc w:val="center"/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sz w:val="28"/>
          <w:lang w:val="ru-RU"/>
        </w:rPr>
        <w:t>с. Номоконово</w:t>
      </w:r>
    </w:p>
    <w:p w14:paraId="05000000">
      <w:pPr>
        <w:widowControl/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«Об утверждении Порядка проведения мониторинга технического состояния многоквартирных домов, признанных аварийными и подлежащими сносу или реконструкции, расположенных на территории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i w:val="0"/>
          <w:iCs/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>Забайкальского края»</w:t>
      </w:r>
    </w:p>
    <w:p w14:paraId="06000000">
      <w:pPr>
        <w:widowControl/>
        <w:spacing w:after="0" w:line="240" w:lineRule="exact"/>
        <w:jc w:val="both"/>
        <w:rPr>
          <w:rFonts w:ascii="Times New Roman" w:hAnsi="Times New Roman"/>
          <w:sz w:val="28"/>
        </w:rPr>
      </w:pPr>
    </w:p>
    <w:p w14:paraId="07000000">
      <w:pPr>
        <w:widowControl/>
        <w:spacing w:after="0" w:line="240" w:lineRule="exact"/>
        <w:jc w:val="both"/>
        <w:rPr>
          <w:rFonts w:ascii="Times New Roman" w:hAnsi="Times New Roman"/>
          <w:sz w:val="28"/>
        </w:rPr>
      </w:pPr>
    </w:p>
    <w:p w14:paraId="08000000">
      <w:pPr>
        <w:widowControl/>
        <w:spacing w:after="0" w:line="240" w:lineRule="exact"/>
        <w:jc w:val="both"/>
        <w:rPr>
          <w:rFonts w:ascii="Times New Roman" w:hAnsi="Times New Roman"/>
          <w:sz w:val="28"/>
        </w:rPr>
      </w:pPr>
    </w:p>
    <w:p w14:paraId="09000000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Жилищным кодексом Российской Федерации, Уставом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i w:val="0"/>
          <w:iCs/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 xml:space="preserve"> Забайкальского края</w:t>
      </w:r>
    </w:p>
    <w:p w14:paraId="0A000000">
      <w:pPr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ПОСТАНОВЛЯЕТ:</w:t>
      </w:r>
    </w:p>
    <w:p w14:paraId="0B000000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Утвердить Порядок проведения мониторинга технического состояния многоквартирных домов, признанных аварийными и подлежащими сносу или реконструкции, расположенных на территории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i w:val="0"/>
          <w:iCs/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 xml:space="preserve"> Забайкальского края согласно приложению № 1.</w:t>
      </w:r>
    </w:p>
    <w:p w14:paraId="0C000000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Образовать межведомственную комиссию и утвердить ее состав согласно приложению № 2.</w:t>
      </w:r>
    </w:p>
    <w:p w14:paraId="5EAEE0A5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Настоящее постановление вступает в силу с момента подписания </w:t>
      </w:r>
    </w:p>
    <w:p w14:paraId="7E7ED2D6">
      <w:pPr>
        <w:suppressAutoHyphens/>
        <w:spacing w:line="276" w:lineRule="auto"/>
        <w:ind w:left="559" w:leftChars="254" w:firstLine="280" w:firstLineChars="100"/>
        <w:jc w:val="both"/>
        <w:rPr>
          <w:rFonts w:ascii="Times New Roman" w:hAnsi="Times New Roman" w:eastAsia="Times New Roman" w:cs="Calibri"/>
          <w:kern w:val="2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color w:val="3C3C3C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3C3C3C"/>
          <w:sz w:val="28"/>
          <w:szCs w:val="28"/>
        </w:rPr>
        <w:t xml:space="preserve">. Настоящее постановление опубликовать </w:t>
      </w:r>
      <w:r>
        <w:rPr>
          <w:rFonts w:ascii="Times New Roman" w:hAnsi="Times New Roman" w:eastAsia="Times New Roman" w:cs="Calibri"/>
          <w:kern w:val="2"/>
          <w:sz w:val="28"/>
          <w:szCs w:val="28"/>
          <w:lang w:eastAsia="ru-RU"/>
        </w:rPr>
        <w:t xml:space="preserve">  на информационных стендах </w:t>
      </w:r>
      <w:r>
        <w:rPr>
          <w:rFonts w:hint="default" w:ascii="Times New Roman" w:hAnsi="Times New Roman" w:eastAsia="Times New Roman" w:cs="Calibri"/>
          <w:kern w:val="2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Calibri"/>
          <w:kern w:val="2"/>
          <w:sz w:val="28"/>
          <w:szCs w:val="28"/>
          <w:lang w:eastAsia="ru-RU"/>
        </w:rPr>
        <w:t>в помещении администрации опубликовать в информационно-телекоммуникационной сети «Интернет» на сайте муниципального района «Шилкинский район».</w:t>
      </w:r>
    </w:p>
    <w:p w14:paraId="0E000000">
      <w:pPr>
        <w:widowControl/>
        <w:spacing w:line="240" w:lineRule="auto"/>
        <w:ind w:left="559" w:leftChars="254" w:firstLine="280" w:firstLineChars="100"/>
        <w:jc w:val="both"/>
        <w:rPr>
          <w:rFonts w:ascii="Times New Roman" w:hAnsi="Times New Roman"/>
          <w:sz w:val="28"/>
        </w:rPr>
      </w:pPr>
      <w:r>
        <w:rPr>
          <w:rFonts w:hint="default" w:ascii="Times New Roman" w:hAnsi="Times New Roman"/>
          <w:sz w:val="28"/>
          <w:lang w:val="ru-RU"/>
        </w:rPr>
        <w:t>5</w:t>
      </w:r>
      <w:r>
        <w:rPr>
          <w:rFonts w:ascii="Times New Roman" w:hAnsi="Times New Roman"/>
          <w:sz w:val="28"/>
        </w:rPr>
        <w:t xml:space="preserve">.Контроль за исполнением настоящего постановления возложить на главу </w:t>
      </w:r>
      <w:r>
        <w:rPr>
          <w:rFonts w:ascii="Times New Roman" w:hAnsi="Times New Roman"/>
          <w:sz w:val="28"/>
          <w:lang w:val="ru-RU"/>
        </w:rPr>
        <w:t>сельского</w:t>
      </w:r>
      <w:r>
        <w:rPr>
          <w:rFonts w:hint="default" w:ascii="Times New Roman" w:hAnsi="Times New Roman"/>
          <w:sz w:val="28"/>
          <w:lang w:val="ru-RU"/>
        </w:rPr>
        <w:t xml:space="preserve"> поселения «Номоконовское»</w:t>
      </w:r>
      <w:r>
        <w:rPr>
          <w:rFonts w:ascii="Times New Roman" w:hAnsi="Times New Roman"/>
          <w:sz w:val="28"/>
        </w:rPr>
        <w:t>.</w:t>
      </w:r>
    </w:p>
    <w:p w14:paraId="0F000000">
      <w:pPr>
        <w:widowControl/>
        <w:spacing w:after="0" w:line="240" w:lineRule="exact"/>
        <w:jc w:val="both"/>
        <w:rPr>
          <w:rFonts w:ascii="Times New Roman" w:hAnsi="Times New Roman"/>
          <w:sz w:val="28"/>
        </w:rPr>
      </w:pPr>
    </w:p>
    <w:p w14:paraId="10000000">
      <w:pPr>
        <w:widowControl/>
        <w:spacing w:line="240" w:lineRule="auto"/>
        <w:ind w:left="0" w:firstLine="0"/>
        <w:rPr>
          <w:rFonts w:hint="default"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i w:val="0"/>
          <w:iCs/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sz w:val="28"/>
          <w:lang w:val="ru-RU"/>
        </w:rPr>
        <w:t>С</w:t>
      </w:r>
      <w:r>
        <w:rPr>
          <w:rFonts w:hint="default" w:ascii="Times New Roman" w:hAnsi="Times New Roman"/>
          <w:sz w:val="28"/>
          <w:lang w:val="ru-RU"/>
        </w:rPr>
        <w:t>.В. Алексеева</w:t>
      </w:r>
    </w:p>
    <w:p w14:paraId="11000000">
      <w:pPr>
        <w:rPr>
          <w:rFonts w:ascii="Times New Roman" w:hAnsi="Times New Roman"/>
          <w:sz w:val="28"/>
        </w:rPr>
      </w:pPr>
    </w:p>
    <w:p w14:paraId="19000000">
      <w:pPr>
        <w:widowControl/>
        <w:spacing w:after="0" w:line="240" w:lineRule="auto"/>
        <w:ind w:firstLine="6440" w:firstLineChars="23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1A000000">
      <w:pPr>
        <w:widowControl/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14:paraId="3D6F07AB">
      <w:pPr>
        <w:widowControl/>
        <w:spacing w:after="0" w:line="240" w:lineRule="auto"/>
        <w:jc w:val="right"/>
        <w:rPr>
          <w:rFonts w:ascii="Times New Roman" w:hAnsi="Times New Roman"/>
          <w:i w:val="0"/>
          <w:iCs/>
          <w:sz w:val="28"/>
          <w:u w:val="none"/>
        </w:rPr>
      </w:pP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i w:val="0"/>
          <w:iCs/>
          <w:sz w:val="28"/>
          <w:u w:val="none"/>
        </w:rPr>
        <w:t xml:space="preserve"> </w:t>
      </w:r>
    </w:p>
    <w:p w14:paraId="1C000000">
      <w:pPr>
        <w:widowControl/>
        <w:spacing w:after="0" w:line="240" w:lineRule="auto"/>
        <w:jc w:val="right"/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i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от </w:t>
      </w:r>
      <w:r>
        <w:rPr>
          <w:rFonts w:hint="default" w:ascii="Times New Roman" w:hAnsi="Times New Roman"/>
          <w:sz w:val="28"/>
          <w:lang w:val="ru-RU"/>
        </w:rPr>
        <w:t>31</w:t>
      </w:r>
      <w:r>
        <w:rPr>
          <w:rFonts w:ascii="Times New Roman" w:hAnsi="Times New Roman"/>
          <w:sz w:val="28"/>
        </w:rPr>
        <w:t>.</w:t>
      </w:r>
      <w:r>
        <w:rPr>
          <w:rFonts w:hint="default" w:ascii="Times New Roman" w:hAnsi="Times New Roman"/>
          <w:sz w:val="28"/>
          <w:lang w:val="ru-RU"/>
        </w:rPr>
        <w:t>10</w:t>
      </w:r>
      <w:r>
        <w:rPr>
          <w:rFonts w:ascii="Times New Roman" w:hAnsi="Times New Roman"/>
          <w:sz w:val="28"/>
        </w:rPr>
        <w:t>.2025 года №</w:t>
      </w:r>
      <w:r>
        <w:rPr>
          <w:rFonts w:hint="default" w:ascii="Times New Roman" w:hAnsi="Times New Roman"/>
          <w:sz w:val="28"/>
          <w:lang w:val="ru-RU"/>
        </w:rPr>
        <w:t xml:space="preserve"> 25</w:t>
      </w:r>
    </w:p>
    <w:p w14:paraId="1D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1E000000">
      <w:pPr>
        <w:widowControl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</w:t>
      </w:r>
    </w:p>
    <w:p w14:paraId="1F000000">
      <w:pPr>
        <w:widowControl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проведения мониторинга технического состояния многоквартирных домов, признанных аварийными и подлежащими сносу или реконструкции, расположенных на территории</w:t>
      </w:r>
      <w:r>
        <w:rPr>
          <w:rFonts w:hint="default"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i w:val="0"/>
          <w:iCs/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>Забайкальского края</w:t>
      </w:r>
    </w:p>
    <w:p w14:paraId="20000000">
      <w:pPr>
        <w:widowControl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1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Настоящий Порядок определяет процедуру организации проведения мониторинга технического состояния, осуществляемого в отношении многоквартирных домов, признанных аварийными и подлежащими сносу или реконструкции, расположенных на территории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sz w:val="28"/>
        </w:rPr>
        <w:t xml:space="preserve"> Забайкальского края (далее – Порядок).</w:t>
      </w:r>
    </w:p>
    <w:p w14:paraId="22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Мониторинг технического состояния многоквартирных домов, признанных аварийными и подлежащими сносу или реконструкции (далее - мониторинг), осуществляется в целях:</w:t>
      </w:r>
    </w:p>
    <w:p w14:paraId="23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обеспечения жилищных прав граждан, проживающих в многоквартирных домах, признанных аварийными и подлежащими сносу или реконструкции, в том числе права на первоочередное расселение граждан;</w:t>
      </w:r>
    </w:p>
    <w:p w14:paraId="24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контроля технического состояния многоквартирных домов, признанных аварийными и подлежащими сносу или реконструкции, в том числе установления наличия или отсутствия угрозы их обрушения.</w:t>
      </w:r>
    </w:p>
    <w:p w14:paraId="25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 xml:space="preserve">1.3. Ответственным за организацию проведения мониторинга технического состояния многоквартирных домов, признанных аварийными и подлежащими сносу или реконструкции, является администрация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i/>
          <w:sz w:val="28"/>
        </w:rPr>
        <w:t>.</w:t>
      </w:r>
    </w:p>
    <w:p w14:paraId="26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Межведомственная комиссия (далее – комиссия) является постоянно действующим коллегиальным органом.</w:t>
      </w:r>
    </w:p>
    <w:p w14:paraId="27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8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Федерации, региональным законодательством, а также настоящим Порядком;</w:t>
      </w:r>
    </w:p>
    <w:p w14:paraId="29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осуществляет свою деятельность во взаимодействии с органами государственной власти, органами местного самоуправления, входящими в состав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sz w:val="28"/>
        </w:rPr>
        <w:t>;</w:t>
      </w:r>
    </w:p>
    <w:p w14:paraId="2A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привлекает по согласованию к работе комиссии представителей органов государственной власти, иных организаций, экспертов для решения вопросов, входящих в компетенцию комиссии.</w:t>
      </w:r>
    </w:p>
    <w:p w14:paraId="2B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 правомочна принимать решение (имеет кворум), если в заседании комиссии принимают участие не менее половины общего числа ее членов.</w:t>
      </w:r>
    </w:p>
    <w:p w14:paraId="2C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Организационно-техническое обеспечение деятельности комиссии осуществляет администрация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</w:p>
    <w:p w14:paraId="2D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Комиссия осуществляет следующие мероприятия:</w:t>
      </w:r>
    </w:p>
    <w:p w14:paraId="2E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реже 1 раза в год осуществляет комиссионный мониторинг аварийного жилищного фонда (проводит визуальные осмотры многоквартирных домов, анализ имеющейся информации об их текущем техническом состоянии, в том числе года постройки, года признания аварийным, процента физического износа строительных конструкций, элементов, систем инженерно- технического обеспечения и/или многоквартирного дома в целом, а также анализ результатов их осмотра);</w:t>
      </w:r>
    </w:p>
    <w:p w14:paraId="2F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определяет перечень многоквартирных домов, признанных аварийными и подлежащими сносу или реконструкции, в отношении которых запланирован мониторинг в плановом году (в первоочередном порядке включаются многоквартирные дома, состояние которых ухудшилось по сравнению с предыдущим осмотром), в том числе с учетом поступающей в орган местного самоуправления информации о наличии признаков аварийности дома;</w:t>
      </w:r>
    </w:p>
    <w:p w14:paraId="30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составляет план проведения мониторинга;</w:t>
      </w:r>
    </w:p>
    <w:p w14:paraId="31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hd w:val="clear" w:fill="619FFF"/>
        </w:rPr>
      </w:pPr>
      <w:r>
        <w:rPr>
          <w:rFonts w:ascii="Times New Roman" w:hAnsi="Times New Roman"/>
          <w:sz w:val="28"/>
        </w:rPr>
        <w:t>- привлекает специализированную организацию для проведения мониторинга;</w:t>
      </w:r>
    </w:p>
    <w:p w14:paraId="32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hd w:val="clear" w:fill="619FFF"/>
        </w:rPr>
      </w:pPr>
      <w:r>
        <w:rPr>
          <w:rFonts w:ascii="Times New Roman" w:hAnsi="Times New Roman"/>
          <w:sz w:val="28"/>
        </w:rPr>
        <w:t>- осуществляет анализ результатов проведенного специализированной организацией мониторинга;</w:t>
      </w:r>
    </w:p>
    <w:p w14:paraId="33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информирует главу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sz w:val="28"/>
        </w:rPr>
        <w:t xml:space="preserve"> о результатах мониторинга.</w:t>
      </w:r>
    </w:p>
    <w:p w14:paraId="34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hd w:val="clear" w:fill="F8D957"/>
        </w:rPr>
      </w:pPr>
      <w:r>
        <w:rPr>
          <w:rFonts w:ascii="Times New Roman" w:hAnsi="Times New Roman"/>
          <w:sz w:val="28"/>
        </w:rPr>
        <w:t>1.6. Мониторинг технического состояния многоквартирных домов, признанных аварийными и подлежащими сносу или реконструкции, проводится с привлечением специализированной организации одним из следующих способов:</w:t>
      </w:r>
    </w:p>
    <w:p w14:paraId="35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hd w:val="clear" w:fill="F8D957"/>
        </w:rPr>
      </w:pPr>
      <w:r>
        <w:rPr>
          <w:rFonts w:ascii="Times New Roman" w:hAnsi="Times New Roman"/>
          <w:sz w:val="28"/>
        </w:rPr>
        <w:t>1) путем заключения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администрацией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контракта с юридическим лицом, являющимся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конструкций;</w:t>
      </w:r>
    </w:p>
    <w:p w14:paraId="36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путем формирования муниципального задания для муниципального учреждения,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конструкций, по выполнению функции специализированной организации.</w:t>
      </w:r>
    </w:p>
    <w:p w14:paraId="37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Специализированная организация по итогам проведения мониторинга технического состояния многоквартирного дома, признанного аварийным и подлежащим сносу или реконструкции, составляет заключение в соответствии с требованиями действующего федерального законодательства, с указанием в нем вывода о наличии или отсутствии угрозы обрушения аварийного дома и направляет его в администрацию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sz w:val="28"/>
        </w:rPr>
        <w:t>.</w:t>
      </w:r>
    </w:p>
    <w:p w14:paraId="38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получения на каком-либо этапе мониторинга данных, указывающих на ухудшение технического состояния всей конструкции или ее элементов, которое может привести к обрушению многоквартирного дома,  специализированная организация должна немедленно информировать о сложившейся ситуации, в том числе в письменном виде, собственника объекта, эксплуатирующую организацию, администрацию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sz w:val="28"/>
        </w:rPr>
        <w:t>.</w:t>
      </w:r>
    </w:p>
    <w:p w14:paraId="39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1.8. Учет и хранение заключений специализированной организации, а также иных документов связанных с проведением мониторинга, осуществляется сотрудником администрации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</w:p>
    <w:p w14:paraId="3A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3B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3C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3D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3E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3F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0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1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2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3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4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5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6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47000000">
      <w:pPr>
        <w:widowControl/>
        <w:spacing w:line="240" w:lineRule="auto"/>
        <w:jc w:val="both"/>
        <w:rPr>
          <w:rFonts w:ascii="Times New Roman" w:hAnsi="Times New Roman"/>
          <w:sz w:val="28"/>
        </w:rPr>
      </w:pPr>
    </w:p>
    <w:p w14:paraId="24356B4A">
      <w:pPr>
        <w:widowControl/>
        <w:spacing w:after="0" w:line="240" w:lineRule="auto"/>
        <w:ind w:firstLine="6160" w:firstLineChars="2200"/>
        <w:jc w:val="both"/>
        <w:rPr>
          <w:rFonts w:ascii="Times New Roman" w:hAnsi="Times New Roman"/>
          <w:sz w:val="28"/>
        </w:rPr>
      </w:pPr>
    </w:p>
    <w:p w14:paraId="12908519">
      <w:pPr>
        <w:widowControl/>
        <w:spacing w:after="0" w:line="240" w:lineRule="auto"/>
        <w:ind w:firstLine="6160" w:firstLineChars="2200"/>
        <w:jc w:val="both"/>
        <w:rPr>
          <w:rFonts w:ascii="Times New Roman" w:hAnsi="Times New Roman"/>
          <w:sz w:val="28"/>
        </w:rPr>
      </w:pPr>
    </w:p>
    <w:p w14:paraId="33243D42">
      <w:pPr>
        <w:widowControl/>
        <w:spacing w:after="0" w:line="240" w:lineRule="auto"/>
        <w:ind w:firstLine="6160" w:firstLineChars="2200"/>
        <w:jc w:val="both"/>
        <w:rPr>
          <w:rFonts w:ascii="Times New Roman" w:hAnsi="Times New Roman"/>
          <w:sz w:val="28"/>
        </w:rPr>
      </w:pPr>
    </w:p>
    <w:p w14:paraId="636CC627">
      <w:pPr>
        <w:widowControl/>
        <w:spacing w:after="0" w:line="240" w:lineRule="auto"/>
        <w:ind w:firstLine="6160" w:firstLineChars="2200"/>
        <w:jc w:val="both"/>
        <w:rPr>
          <w:rFonts w:ascii="Times New Roman" w:hAnsi="Times New Roman"/>
          <w:sz w:val="28"/>
        </w:rPr>
      </w:pPr>
    </w:p>
    <w:p w14:paraId="29ECFB67">
      <w:pPr>
        <w:widowControl/>
        <w:spacing w:after="0" w:line="240" w:lineRule="auto"/>
        <w:ind w:firstLine="6160" w:firstLineChars="2200"/>
        <w:jc w:val="both"/>
        <w:rPr>
          <w:rFonts w:ascii="Times New Roman" w:hAnsi="Times New Roman"/>
          <w:sz w:val="28"/>
        </w:rPr>
      </w:pPr>
    </w:p>
    <w:p w14:paraId="145C8111">
      <w:pPr>
        <w:widowControl/>
        <w:spacing w:after="0" w:line="240" w:lineRule="auto"/>
        <w:ind w:firstLine="6160" w:firstLineChars="2200"/>
        <w:jc w:val="both"/>
        <w:rPr>
          <w:rFonts w:ascii="Times New Roman" w:hAnsi="Times New Roman"/>
          <w:sz w:val="28"/>
        </w:rPr>
      </w:pPr>
    </w:p>
    <w:p w14:paraId="4E000000">
      <w:pPr>
        <w:widowControl/>
        <w:spacing w:after="0" w:line="240" w:lineRule="auto"/>
        <w:ind w:firstLine="6160" w:firstLineChars="22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697BF887">
      <w:pPr>
        <w:widowControl/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14:paraId="407C6F70">
      <w:pPr>
        <w:widowControl/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  <w:r>
        <w:rPr>
          <w:rFonts w:ascii="Times New Roman" w:hAnsi="Times New Roman"/>
          <w:sz w:val="28"/>
        </w:rPr>
        <w:t xml:space="preserve"> </w:t>
      </w:r>
    </w:p>
    <w:p w14:paraId="50000000">
      <w:pPr>
        <w:widowControl/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Забайкальского края</w:t>
      </w:r>
    </w:p>
    <w:p w14:paraId="51000000">
      <w:pPr>
        <w:widowControl/>
        <w:wordWrap w:val="0"/>
        <w:spacing w:after="0" w:line="240" w:lineRule="auto"/>
        <w:jc w:val="right"/>
        <w:rPr>
          <w:rFonts w:hint="default"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hint="default" w:ascii="Times New Roman" w:hAnsi="Times New Roman"/>
          <w:sz w:val="28"/>
          <w:lang w:val="ru-RU"/>
        </w:rPr>
        <w:t>31</w:t>
      </w:r>
      <w:r>
        <w:rPr>
          <w:rFonts w:ascii="Times New Roman" w:hAnsi="Times New Roman"/>
          <w:sz w:val="28"/>
        </w:rPr>
        <w:t>.</w:t>
      </w:r>
      <w:r>
        <w:rPr>
          <w:rFonts w:hint="default" w:ascii="Times New Roman" w:hAnsi="Times New Roman"/>
          <w:sz w:val="28"/>
          <w:lang w:val="ru-RU"/>
        </w:rPr>
        <w:t>10</w:t>
      </w:r>
      <w:r>
        <w:rPr>
          <w:rFonts w:ascii="Times New Roman" w:hAnsi="Times New Roman"/>
          <w:sz w:val="28"/>
        </w:rPr>
        <w:t>.2025 №</w:t>
      </w:r>
      <w:r>
        <w:rPr>
          <w:rFonts w:hint="default" w:ascii="Times New Roman" w:hAnsi="Times New Roman"/>
          <w:sz w:val="28"/>
          <w:lang w:val="ru-RU"/>
        </w:rPr>
        <w:t xml:space="preserve"> 25</w:t>
      </w:r>
      <w:bookmarkStart w:id="0" w:name="_GoBack"/>
      <w:bookmarkEnd w:id="0"/>
    </w:p>
    <w:p w14:paraId="52000000">
      <w:pPr>
        <w:widowControl/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53000000">
      <w:pPr>
        <w:widowControl/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54000000">
      <w:pPr>
        <w:widowControl/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СОСТАВ</w:t>
      </w:r>
    </w:p>
    <w:p w14:paraId="55000000">
      <w:pPr>
        <w:widowControl/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Межведомственной комиссии по проведению</w:t>
      </w:r>
    </w:p>
    <w:p w14:paraId="56000000">
      <w:pPr>
        <w:widowControl/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мониторинга технического состояния многоквартирных домов, признанных аварийными и подлежащими сносу или реконструкции, расположенных на территории </w:t>
      </w:r>
      <w:r>
        <w:rPr>
          <w:rFonts w:ascii="Times New Roman" w:hAnsi="Times New Roman"/>
          <w:i w:val="0"/>
          <w:iCs/>
          <w:sz w:val="28"/>
          <w:u w:val="none"/>
          <w:lang w:val="ru-RU"/>
        </w:rPr>
        <w:t>сельского</w:t>
      </w:r>
      <w:r>
        <w:rPr>
          <w:rFonts w:hint="default" w:ascii="Times New Roman" w:hAnsi="Times New Roman"/>
          <w:i w:val="0"/>
          <w:iCs/>
          <w:sz w:val="28"/>
          <w:u w:val="none"/>
          <w:lang w:val="ru-RU"/>
        </w:rPr>
        <w:t xml:space="preserve"> поселения «Номоконовское»</w:t>
      </w:r>
    </w:p>
    <w:p w14:paraId="5700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58000000">
      <w:pPr>
        <w:widowControl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комиссии                     </w:t>
      </w:r>
      <w:r>
        <w:rPr>
          <w:rFonts w:ascii="Times New Roman" w:hAnsi="Times New Roman"/>
          <w:sz w:val="28"/>
          <w:lang w:val="ru-RU"/>
        </w:rPr>
        <w:t>Глава</w:t>
      </w:r>
      <w:r>
        <w:rPr>
          <w:rFonts w:hint="default" w:ascii="Times New Roman" w:hAnsi="Times New Roman"/>
          <w:sz w:val="28"/>
          <w:lang w:val="ru-RU"/>
        </w:rPr>
        <w:t xml:space="preserve"> с.п. «Номоконовское» С.В. Алексеева</w:t>
      </w:r>
    </w:p>
    <w:p w14:paraId="5A000000">
      <w:pPr>
        <w:widowControl/>
        <w:spacing w:after="0" w:line="240" w:lineRule="auto"/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sz w:val="28"/>
          <w:lang w:val="ru-RU"/>
        </w:rPr>
        <w:t xml:space="preserve"> </w:t>
      </w:r>
    </w:p>
    <w:p w14:paraId="5B00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5C000000">
      <w:pPr>
        <w:widowControl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председателя</w:t>
      </w:r>
    </w:p>
    <w:p w14:paraId="5D000000">
      <w:pPr>
        <w:widowControl/>
        <w:spacing w:after="0" w:line="240" w:lineRule="auto"/>
        <w:rPr>
          <w:rFonts w:hint="default"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комиссии                                               </w:t>
      </w:r>
      <w:r>
        <w:rPr>
          <w:rFonts w:ascii="Times New Roman" w:hAnsi="Times New Roman"/>
          <w:sz w:val="28"/>
          <w:lang w:val="ru-RU"/>
        </w:rPr>
        <w:t>Зам</w:t>
      </w:r>
      <w:r>
        <w:rPr>
          <w:rFonts w:hint="default" w:ascii="Times New Roman" w:hAnsi="Times New Roman"/>
          <w:sz w:val="28"/>
          <w:lang w:val="ru-RU"/>
        </w:rPr>
        <w:t>. главы Т.Л. Соколова</w:t>
      </w:r>
    </w:p>
    <w:p w14:paraId="5F000000">
      <w:pPr>
        <w:widowControl/>
        <w:spacing w:after="0" w:line="240" w:lineRule="auto"/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i/>
          <w:sz w:val="28"/>
          <w:lang w:val="ru-RU"/>
        </w:rPr>
        <w:t xml:space="preserve"> </w:t>
      </w:r>
    </w:p>
    <w:p w14:paraId="6000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61000000">
      <w:pPr>
        <w:widowControl/>
        <w:spacing w:after="0" w:line="240" w:lineRule="auto"/>
        <w:rPr>
          <w:rFonts w:hint="default"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>Секретарь комиссии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hint="default" w:ascii="Times New Roman" w:hAnsi="Times New Roman"/>
          <w:sz w:val="28"/>
          <w:lang w:val="ru-RU"/>
        </w:rPr>
        <w:t xml:space="preserve">            Техник-землеустроитель Н.С. Алексеева</w:t>
      </w:r>
    </w:p>
    <w:p w14:paraId="6200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6300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6400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65000000">
      <w:pPr>
        <w:widowControl/>
        <w:spacing w:after="0" w:line="240" w:lineRule="auto"/>
        <w:rPr>
          <w:rFonts w:hint="default"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>Члены комиссии: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hint="default" w:ascii="Times New Roman" w:hAnsi="Times New Roman"/>
          <w:sz w:val="28"/>
          <w:lang w:val="ru-RU"/>
        </w:rPr>
        <w:t xml:space="preserve">             Работник ВУС  Т.Ю. Кондратьева</w:t>
      </w:r>
    </w:p>
    <w:p w14:paraId="6600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67000000">
      <w:pPr>
        <w:widowControl/>
        <w:spacing w:after="0" w:line="240" w:lineRule="auto"/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sz w:val="28"/>
          <w:lang w:val="ru-RU"/>
        </w:rPr>
        <w:t xml:space="preserve">                                                                </w:t>
      </w:r>
    </w:p>
    <w:p w14:paraId="68000000">
      <w:pPr>
        <w:widowControl/>
        <w:spacing w:after="0" w:line="240" w:lineRule="auto"/>
        <w:rPr>
          <w:rFonts w:ascii="Times New Roman" w:hAnsi="Times New Roman"/>
          <w:sz w:val="28"/>
        </w:rPr>
      </w:pPr>
      <w:r>
        <w:rPr>
          <w:rFonts w:hint="default" w:ascii="Times New Roman" w:hAnsi="Times New Roman"/>
          <w:sz w:val="28"/>
          <w:lang w:val="ru-RU"/>
        </w:rPr>
        <w:t xml:space="preserve">                                                                Заведующая СДК  Л.В. Журкина</w:t>
      </w:r>
      <w:r>
        <w:rPr>
          <w:rFonts w:ascii="Times New Roman" w:hAnsi="Times New Roman"/>
          <w:sz w:val="28"/>
        </w:rPr>
        <w:t xml:space="preserve">     </w:t>
      </w:r>
    </w:p>
    <w:p w14:paraId="69000000">
      <w:pPr>
        <w:widowControl/>
        <w:spacing w:after="0" w:line="240" w:lineRule="auto"/>
        <w:ind w:left="4961" w:firstLine="0"/>
        <w:rPr>
          <w:rFonts w:ascii="Times New Roman" w:hAnsi="Times New Roman"/>
          <w:sz w:val="28"/>
        </w:rPr>
      </w:pPr>
    </w:p>
    <w:p w14:paraId="6A000000">
      <w:pPr>
        <w:widowControl/>
        <w:spacing w:after="0" w:line="240" w:lineRule="auto"/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sz w:val="28"/>
          <w:lang w:val="ru-RU"/>
        </w:rPr>
        <w:t xml:space="preserve">                                                                Директор СОШ Л.В. Лоскутникова</w:t>
      </w:r>
    </w:p>
    <w:p w14:paraId="6B000000">
      <w:pPr>
        <w:widowControl/>
        <w:spacing w:after="0" w:line="240" w:lineRule="auto"/>
        <w:ind w:left="4961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</w:p>
    <w:sectPr>
      <w:headerReference r:id="rId5" w:type="default"/>
      <w:pgSz w:w="11906" w:h="16838"/>
      <w:pgMar w:top="1134" w:right="567" w:bottom="1134" w:left="1701" w:header="709" w:footer="709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1"/>
      <w:widowControl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EDA2EE7"/>
    <w:rsid w:val="27B23C36"/>
    <w:rsid w:val="34D95CD1"/>
    <w:rsid w:val="6804619D"/>
    <w:rsid w:val="7C1453F3"/>
    <w:rsid w:val="7DEB16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before="0" w:after="200" w:line="276" w:lineRule="auto"/>
      <w:ind w:left="0" w:right="0" w:firstLine="0"/>
      <w:jc w:val="left"/>
    </w:pPr>
    <w:rPr>
      <w:rFonts w:ascii="Calibri" w:hAnsi="Calibri" w:eastAsiaTheme="minorEastAsia" w:cstheme="minorBid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qFormat/>
    <w:uiPriority w:val="0"/>
    <w:pPr>
      <w:widowControl/>
      <w:spacing w:after="0" w:line="240" w:lineRule="auto"/>
    </w:pPr>
    <w:rPr>
      <w:rFonts w:ascii="Tahoma" w:hAnsi="Tahoma"/>
      <w:sz w:val="16"/>
    </w:rPr>
  </w:style>
  <w:style w:type="paragraph" w:styleId="10">
    <w:name w:val="Body Text Indent 3"/>
    <w:basedOn w:val="1"/>
    <w:qFormat/>
    <w:uiPriority w:val="0"/>
    <w:pPr>
      <w:widowControl/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1">
    <w:name w:val="header"/>
    <w:basedOn w:val="1"/>
    <w:qFormat/>
    <w:uiPriority w:val="0"/>
    <w:pPr>
      <w:widowControl/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</w:rPr>
  </w:style>
  <w:style w:type="character" w:styleId="12">
    <w:name w:val="Hyperlink"/>
    <w:qFormat/>
    <w:uiPriority w:val="0"/>
    <w:rPr>
      <w:color w:val="0000FF"/>
      <w:u w:val="single"/>
    </w:rPr>
  </w:style>
  <w:style w:type="paragraph" w:styleId="13">
    <w:name w:val="Subtitle"/>
    <w:next w:val="1"/>
    <w:qFormat/>
    <w:uiPriority w:val="11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styleId="14">
    <w:name w:val="Title"/>
    <w:next w:val="1"/>
    <w:qFormat/>
    <w:uiPriority w:val="10"/>
    <w:pPr>
      <w:widowControl/>
      <w:spacing w:before="567" w:after="567" w:line="240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15">
    <w:name w:val="toc 1"/>
    <w:next w:val="1"/>
    <w:qFormat/>
    <w:uiPriority w:val="39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6">
    <w:name w:val="toc 2"/>
    <w:next w:val="1"/>
    <w:qFormat/>
    <w:uiPriority w:val="39"/>
    <w:pPr>
      <w:widowControl/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3"/>
    <w:next w:val="1"/>
    <w:qFormat/>
    <w:uiPriority w:val="39"/>
    <w:pPr>
      <w:widowControl/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4"/>
    <w:next w:val="1"/>
    <w:qFormat/>
    <w:uiPriority w:val="39"/>
    <w:pPr>
      <w:widowControl/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5"/>
    <w:next w:val="1"/>
    <w:qFormat/>
    <w:uiPriority w:val="39"/>
    <w:pPr>
      <w:widowControl/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oc 6"/>
    <w:next w:val="1"/>
    <w:qFormat/>
    <w:uiPriority w:val="39"/>
    <w:pPr>
      <w:widowControl/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1">
    <w:name w:val="toc 7"/>
    <w:next w:val="1"/>
    <w:qFormat/>
    <w:uiPriority w:val="39"/>
    <w:pPr>
      <w:widowControl/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2">
    <w:name w:val="toc 8"/>
    <w:next w:val="1"/>
    <w:qFormat/>
    <w:uiPriority w:val="39"/>
    <w:pPr>
      <w:widowControl/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3">
    <w:name w:val="toc 9"/>
    <w:next w:val="1"/>
    <w:qFormat/>
    <w:uiPriority w:val="39"/>
    <w:pPr>
      <w:widowControl/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customStyle="1" w:styleId="24">
    <w:name w:val="Endnote"/>
    <w:link w:val="25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5">
    <w:name w:val="Endnote1"/>
    <w:link w:val="24"/>
    <w:qFormat/>
    <w:uiPriority w:val="0"/>
    <w:rPr>
      <w:rFonts w:ascii="XO Thames" w:hAnsi="XO Thames"/>
      <w:sz w:val="22"/>
    </w:rPr>
  </w:style>
  <w:style w:type="paragraph" w:customStyle="1" w:styleId="26">
    <w:name w:val="others2"/>
    <w:link w:val="27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color w:val="000000"/>
      <w:spacing w:val="0"/>
      <w:sz w:val="20"/>
    </w:rPr>
  </w:style>
  <w:style w:type="character" w:customStyle="1" w:styleId="27">
    <w:name w:val="others21"/>
    <w:basedOn w:val="7"/>
    <w:link w:val="26"/>
    <w:qFormat/>
    <w:uiPriority w:val="0"/>
  </w:style>
  <w:style w:type="paragraph" w:customStyle="1" w:styleId="28">
    <w:name w:val="Font Style20"/>
    <w:link w:val="2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Arial Narrow" w:hAnsi="Arial Narrow" w:eastAsiaTheme="minorEastAsia" w:cstheme="minorBidi"/>
      <w:color w:val="000000"/>
      <w:spacing w:val="0"/>
      <w:sz w:val="16"/>
    </w:rPr>
  </w:style>
  <w:style w:type="character" w:customStyle="1" w:styleId="29">
    <w:name w:val="Font Style201"/>
    <w:link w:val="28"/>
    <w:qFormat/>
    <w:uiPriority w:val="0"/>
    <w:rPr>
      <w:rFonts w:ascii="Arial Narrow" w:hAnsi="Arial Narrow"/>
      <w:sz w:val="16"/>
    </w:rPr>
  </w:style>
  <w:style w:type="paragraph" w:customStyle="1" w:styleId="30">
    <w:name w:val="Font Style22"/>
    <w:link w:val="31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16"/>
    </w:rPr>
  </w:style>
  <w:style w:type="character" w:customStyle="1" w:styleId="31">
    <w:name w:val="Font Style221"/>
    <w:link w:val="30"/>
    <w:qFormat/>
    <w:uiPriority w:val="0"/>
    <w:rPr>
      <w:rFonts w:ascii="Times New Roman" w:hAnsi="Times New Roman"/>
      <w:sz w:val="16"/>
    </w:rPr>
  </w:style>
  <w:style w:type="paragraph" w:customStyle="1" w:styleId="32">
    <w:name w:val="Style3"/>
    <w:basedOn w:val="1"/>
    <w:link w:val="33"/>
    <w:qFormat/>
    <w:uiPriority w:val="0"/>
    <w:pPr>
      <w:widowControl w:val="0"/>
      <w:spacing w:after="0" w:line="326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33">
    <w:name w:val="Style31"/>
    <w:link w:val="32"/>
    <w:qFormat/>
    <w:uiPriority w:val="0"/>
    <w:rPr>
      <w:rFonts w:ascii="Times New Roman" w:hAnsi="Times New Roman"/>
      <w:sz w:val="24"/>
    </w:rPr>
  </w:style>
  <w:style w:type="paragraph" w:customStyle="1" w:styleId="34">
    <w:name w:val="Footnote"/>
    <w:link w:val="35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35">
    <w:name w:val="Footnote1"/>
    <w:link w:val="34"/>
    <w:qFormat/>
    <w:uiPriority w:val="0"/>
    <w:rPr>
      <w:rFonts w:ascii="XO Thames" w:hAnsi="XO Thames"/>
      <w:sz w:val="22"/>
    </w:rPr>
  </w:style>
  <w:style w:type="paragraph" w:customStyle="1" w:styleId="36">
    <w:name w:val="Header and Footer"/>
    <w:link w:val="37"/>
    <w:qFormat/>
    <w:uiPriority w:val="0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37">
    <w:name w:val="Header and Footer1"/>
    <w:link w:val="36"/>
    <w:qFormat/>
    <w:uiPriority w:val="0"/>
    <w:rPr>
      <w:rFonts w:ascii="XO Thames" w:hAnsi="XO Thames"/>
      <w:sz w:val="28"/>
    </w:rPr>
  </w:style>
  <w:style w:type="paragraph" w:customStyle="1" w:styleId="38">
    <w:name w:val="others1"/>
    <w:link w:val="39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color w:val="000000"/>
      <w:spacing w:val="0"/>
      <w:sz w:val="20"/>
    </w:rPr>
  </w:style>
  <w:style w:type="character" w:customStyle="1" w:styleId="39">
    <w:name w:val="others11"/>
    <w:basedOn w:val="7"/>
    <w:link w:val="38"/>
    <w:qFormat/>
    <w:uiPriority w:val="0"/>
  </w:style>
  <w:style w:type="paragraph" w:customStyle="1" w:styleId="40">
    <w:name w:val="u"/>
    <w:basedOn w:val="1"/>
    <w:link w:val="41"/>
    <w:qFormat/>
    <w:uiPriority w:val="0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1">
    <w:name w:val="u1"/>
    <w:link w:val="40"/>
    <w:qFormat/>
    <w:uiPriority w:val="0"/>
    <w:rPr>
      <w:rFonts w:ascii="Times New Roman" w:hAnsi="Times New Roman"/>
      <w:sz w:val="24"/>
    </w:rPr>
  </w:style>
  <w:style w:type="paragraph" w:customStyle="1" w:styleId="42">
    <w:name w:val="others3"/>
    <w:link w:val="43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color w:val="000000"/>
      <w:spacing w:val="0"/>
      <w:sz w:val="20"/>
    </w:rPr>
  </w:style>
  <w:style w:type="character" w:customStyle="1" w:styleId="43">
    <w:name w:val="others31"/>
    <w:basedOn w:val="7"/>
    <w:link w:val="42"/>
    <w:qFormat/>
    <w:uiPriority w:val="0"/>
  </w:style>
  <w:style w:type="paragraph" w:customStyle="1" w:styleId="44">
    <w:name w:val="Font Style12"/>
    <w:link w:val="45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18"/>
    </w:rPr>
  </w:style>
  <w:style w:type="character" w:customStyle="1" w:styleId="45">
    <w:name w:val="Font Style121"/>
    <w:link w:val="44"/>
    <w:qFormat/>
    <w:uiPriority w:val="0"/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TotalTime>3</TotalTime>
  <ScaleCrop>false</ScaleCrop>
  <LinksUpToDate>false</LinksUpToDate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2025-09-30T03:40:00Z</dcterms:created>
  <dc:creator>111</dc:creator>
  <cp:lastModifiedBy>111</cp:lastModifiedBy>
  <cp:lastPrinted>2025-10-31T01:31:44Z</cp:lastPrinted>
  <dcterms:modified xsi:type="dcterms:W3CDTF">2025-10-31T01:33:11Z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3EE2229ADC4A4200A51F9C7678D2CB22_12</vt:lpwstr>
  </property>
</Properties>
</file>